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2008/333 vom 28. Juni 2010</w:t>
      </w:r>
    </w:p>
    <w:p>
      <w:r>
        <w:t>Sg Versicherungsgericht, 2010-06-28, DE</w:t>
      </w:r>
    </w:p>
    <w:p>
      <w:r>
        <w:rPr>
          <w:b/>
        </w:rPr>
        <w:t xml:space="preserve">Quelle: </w:t>
      </w:r>
      <w:r>
        <w:t>https://mcp.opencaselaw.ch/entscheid/sg_publikationen_IV 2008_333</w:t>
      </w:r>
    </w:p>
    <w:p>
      <w:r>
        <w:t>FR: SG_VERSICHERUNGSGERICHT IV 2008/333 du 28 juin 2010</w:t>
      </w:r>
    </w:p>
    <w:p>
      <w:r>
        <w:t>IT: SG_VERSICHERUNGSGERICHT IV 2008/333 del 28 giugno 2010</w:t>
      </w:r>
    </w:p>
    <w:p>
      <w:pPr>
        <w:pStyle w:val="Heading2"/>
      </w:pPr>
      <w:r>
        <w:t>Regeste</w:t>
      </w:r>
    </w:p>
    <w:p>
      <w:r>
        <w:t>Art. 17 Abs. 1 ATSG; Art. 28 Abs. 2 IVG. Aufgrund gesundheitlicher Verbesserung wird die bislang ganze Rente auf eine Dreiviertelsrente herabgesetzt (Entscheid des Versicherungsgerichts des Kantons St. Gallen vom 28. Juni 2010, IV 2008/333).</w:t>
      </w:r>
    </w:p>
    <w:p>
      <w:pPr>
        <w:pStyle w:val="Heading2"/>
      </w:pPr>
      <w:r>
        <w:t>Erwägungen</w:t>
      </w:r>
    </w:p>
    <w:p>
      <w:r>
        <w:rPr>
          <w:b/>
        </w:rPr>
        <w:t>E. 1.1</w:t>
      </w:r>
    </w:p>
    <w:p>
      <w:r>
        <w:t>Nach Art. 28 Abs. 2 des Bundesgesetzes über die Invalidenversicherung (IVG; SR 831.20)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1.2</w:t>
      </w:r>
    </w:p>
    <w:p>
      <w:r>
        <w:t>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1.3</w:t>
      </w:r>
    </w:p>
    <w:p>
      <w:r>
        <w:t>Im sozialversicherungsgerichtlichen Verfahren hat das Gericht den Sachverhalt von Amtes wegen festzustellen und alle Beweismittel objektiv zu prüfen, unabhängig davon, von wem sie stammen, und danach zu entscheiden, ob sie eine zuverlässige Beurteilung des strittigen Leistungsanspruchs gestatten. Insbesondere darf es beim Vorliegen einander widersprechender medizinischer Berichte den Prozess nicht erledigen, ohne das gesamte Beweismaterial zu würdigen und die Gründe anzugeben, warum es auf die eine und nicht auf die andere medizinische These abstellt. Hinsichtlich des Beweiswerts eines ärztlichen Gutachtens ist im Licht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die Experten nicht auszuräumende Unsicherheiten und Unklarheiten, welche die Beantwortung der Fragen erschweren oder verunmöglichen, gegebenenfalls deutlich machen (BGE 134 V 231 E. 5.1).</w:t>
      </w:r>
    </w:p>
    <w:p>
      <w:r>
        <w:rPr>
          <w:b/>
        </w:rPr>
        <w:t>E. 2.1</w:t>
      </w:r>
    </w:p>
    <w:p>
      <w:r>
        <w:t>Gestützt auf den Verlaufsbericht der Klinik St. Pirminsberg vom 6. Februar 2008 hielt die Beschwerdegegnerin dafür, dass sich der Gesundheitszustand der Beschwerdeführerin wesentlich verbessert habe und ihr eine leidensadaptierte Tätigkeit wieder mit einem Pensum von 50% zumutbar wäre (act. G 7). Die Beschwerdeführerin bestreitet, dass sich ihr Gesundheitszustand verbessert habe (act. G 1).</w:t>
      </w:r>
    </w:p>
    <w:p>
      <w:r>
        <w:rPr>
          <w:b/>
        </w:rPr>
        <w:t>E. 2.2</w:t>
      </w:r>
    </w:p>
    <w:p>
      <w:r>
        <w:t>Auf der Grundlage der früheren medizinischen Unterlagen, der erhobenen Befunde, dreimaliger persönlicher Untersuchungen und der telefonischen Auskünfte der behandelnden Ärzte legten die Experten im Verlaufsbericht vom 6. Februar 2008 dar, dass die diagnostizierten Krankheiten (kombinierte Persönlichkeitsstörung mit emotional instabilen und ängstlich vermeidenden Anteilen; Alkohol- und Benzodiazepinabhängigkeit, gegenwärtig abstinent) im Vergleich zur medizinischen Einschätzung vom 10. Juni 2002 (act. G 7.9) nicht mehr eine vollständige Arbeitsunfähigkeit begründen. Der Beschwerdeführerin sei neu eine leidensadaptierte Tätigkeit zu 50% bzw. vier Stunden täglich zumutbar. Zur Befundänderung führten sie aus, dass die Langzeittherapie erfolgreich verlaufen sei. Die Beschwerdeführerin sei zwischenzeitlich stabiler, habe in der Psychotherapie die belastenden Erlebnisse in der Vergangenheit bearbeiten und die Abstinenz fortsetzen können (act. G 7.32).</w:t>
      </w:r>
    </w:p>
    <w:p>
      <w:r>
        <w:rPr>
          <w:b/>
        </w:rPr>
        <w:t>E. 2.3</w:t>
      </w:r>
    </w:p>
    <w:p>
      <w:r>
        <w:t>Die Beschwerdeführerin bringt keine konkreten Mängel gegen den Verlaufsbericht der Klinik Valens vom 6. Februar 2008 vor. Es sind auch keine Punkte ersichtlich, die gegen den Beweiswert dieses ärztlichen Berichtes sprechen würden, zumal er hinsichtlich der festgestellten gesundheitlichen Verbesserung und einer möglichen Arbeitsfähigkeit mit der Einschätzung des behandelnden Dr. A.___ einhergeht (vgl. zum verbesserten Zustand den Verlaufsbericht Dr. A.___ vom 12. November 2006, act. G 7.22; zur Arbeitsfähigkeit vgl. die telefonische Auskunft anlässlich der Verlaufsbegutachtung, act. G 7.32-12). Gestützt darauf ist von einer Arbeitsfähigkeit von 50% für leidensadaptierte Tätigkeiten auszugehen. Soweit die Beschwerdeführerin gegen das Bestehen einer teilweisen Arbeitsfähigkeit Rückenschmerzen ins Feld führt (act. G 1), kann ihr nicht gefolgt werden. Denn die Ärzte der Klinik Valens stellten auf der körperlichen Ebene keine die Arbeitsfähigkeit limitierenden Beeinträchtigungen fest (act. G 7.32-24). Damit stimmt die Aussage des behandelnden Arztes überein, dass die somatischen Befunde keine Auswirkungen auf die (quantitative) Leistungsfähigkeit hätten (telefonische Auskunft anlässlich der Untersuchung der Klinik Valens, act. G 7.32-12). Im Übrigen ergeben sich aus der Aktenlage keine ärztlichen Feststellungen, die auf das Bestehen eines invalidisierenden Rückenleidens hindeuten würden.</w:t>
      </w:r>
    </w:p>
    <w:p>
      <w:r>
        <w:rPr>
          <w:b/>
        </w:rPr>
        <w:t>E. 3</w:t>
      </w:r>
    </w:p>
    <w:p>
      <w:r>
        <w:t>Zu prüfen bleiben damit die erwerblichen Auswirkungen der für leidensadaptierte Tätigkeiten bestehenden 50%igen Arbeitsfähigkeit.</w:t>
      </w:r>
    </w:p>
    <w:p>
      <w:r>
        <w:rPr>
          <w:b/>
        </w:rPr>
        <w:t>E. 3.1</w:t>
      </w:r>
    </w:p>
    <w:p>
      <w:r>
        <w:t>Bei der Ermittlung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Mithin besteht die Vermutung, dass die versicherte Person der letzten Erwerbstätigkeit, insbesondere wenn sie über längere Zeit ausgeübt wurde oder sie der beruflichen Ausbildung entsprach, auch weiterhin nachgehen würde (Urteil des Bundesgerichts vom 22. September 2009, 8C_143/09, E. 2.2.1 mit Hinweisen). In der ursprünglichen Rentenverfügung vom 6. Februar 2003 ging die Beschwerdegegnerin für die Ermittlung des Valideneinkommens von der letzten Tätigkeit der Beschwerdeführerin bei einem Altersheim aus (act. G 7.11-2; vgl. zum Einkommen den IK-Auszug in act. G 7.7-1). Auch in der angefochtenen Verfügung stellte die Beschwerdegegnerin im Verwaltungsverfahren auf die Lohnverhältnisse des zuletzt ausgeübten Arbeitsverhältnisses ab (zur Lohnauskunft vgl. act. G 7.36) und ermittelte ein Valideneinkommen von Fr. 56'339.--. Da die Tätigkeit in der Alterspflege seit 1984 der erwerblichen Biographie der Beschwerdeführerin entspricht und das Valideneinkommen auf konkreten Lohnangaben des letzten Arbeitgebers vor Eintritt der Invalidität beruht, ist - entgegen der erst im Beschwerdeverfahren anderslautenden Auffassung der Beschwerdegegnerin (act. G 7, S. 3) - von einem Valideneinkommen von Fr. 56'339.-- auszugehen.</w:t>
      </w:r>
    </w:p>
    <w:p>
      <w:r>
        <w:rPr>
          <w:b/>
        </w:rPr>
        <w:t>E. 3.2</w:t>
      </w:r>
    </w:p>
    <w:p>
      <w:r>
        <w:t>Von den Parteien unbestritten ist, dass für die Ermittlung des Invalideneinkommens die Durchschnittslöhne der schweizerischen Lohnstrukturerhebung heranzuziehen sind. Soweit die Beschwerdeführerin mangelnde Verwertbarkeit ihrer Restarbeitsfähigkeit geltend macht, kann ihr nicht gefolgt werden. Deren Bezugspunkt für die Invalidenversicherung ist - in Abgrenzung zur Arbeitslosenversicherung - der ausgeglichene Arbeitsmarkt, der unabhängig von konjunkturellen Schwankungen ein bestimmtes Gleichgewicht zwischen dem Angebot und der Nachfrage nach Stellen umschliesst und von seiner Struktur her einen Fächer verschiedenster Tätigkeiten aufweist, und zwar sowohl bezüglich der dafür verlangten beruflichen und intellektuellen Voraussetzungen als auch hinsichtlich des körperlichen Einsatzes. Letzteres gilt auch im Bereich der un- und angelernten Arbeitnehmer (ZAK 1991, S. 321). Die von der Klinik Valens und vom RAD umschriebenen Voraussetzungen an eine adaptierte Tätigkeit - körperlich leichte bis mittelschwere Tätigkeiten ohne hohe Anforderungen an die allgemeine kognitive Leistungsfähigkeit, keine Arbeit unter Zeitdruck, reduzierte psychische Belastbarkeit, keine Arbeit in geschlossenen Räumen, keine Tätigkeit im Gastgewerbe (act. G 7.32-26 ff., G 7.33) - begrenzen zwar die Arbeitsmöglichkeiten, sind aber nicht derart einschränkend, dass ein ausgeglichener Arbeitsmarkt nicht entsprechende Stellen aufweisen würde (vgl. auch die Ausführungen in der Beschwerdeantwort, act. G 7, III, Ziffer 4).</w:t>
      </w:r>
    </w:p>
    <w:p>
      <w:r>
        <w:rPr>
          <w:b/>
        </w:rPr>
        <w:t>E. 3.2.1</w:t>
      </w:r>
    </w:p>
    <w:p>
      <w:r>
        <w:t>Im Jahr 2008 betrug der auf einer 40-stündigen Arbeitswoche beruhende Durchschnittslohn der Tabelle TA1, Anforderungsniveau 4, Frauen, monatlich Fr. 4'116.-bzw. jährlich Fr. 49'392.--. Da der Beschwerdeführerin eine leidensadaptierte Tätigkeit aus medizinischer Sicht lediglich vier Stunden täglich zumutbar ist, hat eine Aufrechnung des Tabellenlohns auf die durchschnittliche Wochenarbeitszeit zu unterbleiben. Unter der Berücksichtigung der Restarbeitsfähigkeit von 50% resultiert damit ein Einkommen von Fr. 24'696.-- (Fr. 49'392.-- x 0.5).</w:t>
      </w:r>
    </w:p>
    <w:p>
      <w:r>
        <w:rPr>
          <w:b/>
        </w:rPr>
        <w:t>E. 3.2.2</w:t>
      </w:r>
    </w:p>
    <w:p>
      <w:r>
        <w:t>Im Verwaltungsverfahren hielt die Beschwerdegegnerin bei der Bestimmung des Invalideneinkommens noch einen Leidensabzug von 15% für gerechtfertigt (vgl. act. G 7.38). Im Beschwerdeverfahren hingegen stellt sie sich auf den Standpunkt, dass ein Leidensabzug nicht gerechtfertigt sei, da die Beschwerdeführerin auch körperlich mittelschwere Tätigkeiten ausüben könne (act. G 7). Bei dieser Argumentation verkennt die Beschwerdegegnerin, dass bei der Beantwortung der Frage nach der Vornahme eines Leidensabzugs sämtliche persönlichen sowie beruflichen Umstände der versicherten Person zu berücksichtigen sind und damit nicht allein auf das Anforderungsprofil der zumutbaren Tätigkeit abgestellt werden darf. Aus medizinischer Sicht sind der Beschwerdeführerin im Übrigen nur noch einfachere manuelle Tätigkeiten zumutbar, die nicht hohe Anforderungen an die allgemeine kognitive Leistungsfähigkeit stellen (act. G 7.32-26). Weiter zu beachten ist, dass das Arbeiten in geschlossenen Räumen bei der Beschwerdeführerin zu rasch ansteigender Angst führen kann (act. G 7.32-23). Bei Aufgaben, die geteilte Aufmerksamkeit bzw. erhöhte Konzentration und kognitive Flexibilität erfordern, liegt das Verarbeitungstempo stark unter der Altersnorm. Zudem besteht unter Zeitdruck eine verminderte Fehlerkontrolle (act. G 7.32-24). Nach dem Gesagten ist die Beschwerdeführerin für körperlich leichte Tätigkeiten erheblich eingeschränkt und es besteht selbst für Arbeiten im Anforderungsniveau 4 lediglich noch ein beschränkter Bereich für zumutbare Tätigkeiten. Hinzu kommt, dass das COPD zusätzliche Anforderungen an einen Arbeitsplatz stellen dürfte (z.B. keine Arbeiten mit Expositionen gegenüber atemwegsreizenden Stäuben, Rauch, Dämpfen usw.).</w:t>
      </w:r>
    </w:p>
    <w:p>
      <w:r>
        <w:rPr>
          <w:b/>
        </w:rPr>
        <w:t>E. 3.2.3</w:t>
      </w:r>
    </w:p>
    <w:p>
      <w:r>
        <w:t>Ins Gewicht fällt weiter, dass die Beschwerdeführerin einer längeren Einarbeitungszeit bedarf (act. 7.32-26), aufgrund in der Vergangenheit mehrmals aufgetretener Exazerbationen der COPD (act. G 7.32-12; "episodenhaftes" Auftreten, act. G 7.22) und der ausgesprochenen emotionalen Instabilität (act. G 7.32-24) über ein erhöhtes Krankheitsrisiko verfügt, bei der Ausübung einer Tätigkeit auch arbeitgeberseits der "relativ" hohen Gefahr einer Überforderung und Überschreitung der psychischen Belastbarkeit (act. G 7.32-24) Rechnung getragen werden muss und die Beschwerdeführerin bei der Arbeit einer - wohl einfühlsamen - Bezugsperson bedarf, zu der sie Vertrauen aufbauen kann (act. G 7.32-27).</w:t>
      </w:r>
    </w:p>
    <w:p>
      <w:r>
        <w:rPr>
          <w:b/>
        </w:rPr>
        <w:t>E. 3.2.4</w:t>
      </w:r>
    </w:p>
    <w:p>
      <w:r>
        <w:t>Insgesamt bestehen keine Anhaltspunkte dafür, den von der Beschwerdegegnerin im Verwaltungsverfahren für angemessen erachteten Leidensabzug von 15% (act. G 7.38) zu korrigieren und in ihr Ermessen einzugreifen. Die Frage, ob nicht sogar ein höherer Abzug gerechtfertigt wäre, kann offen gelassen werden. Denn sowohl bei einem Leidensabzug von 15% wie auch selbst bei einem Maximalabzug von 25% resultiert ein Invalideneinkommen von Fr. 20'992.-- bzw. Fr. 18'522.-- bzw. ein Invaliditätsgrad von 63% ([{Fr. 56'339.-- - Fr. 20'992.--} / Fr. 56'339.--] x 100) bzw. von 67% ([{Fr. 56'339.-- - Fr. 18'522.--} / Fr. 56'339.--] x 100). Damit hat die Beschwerdeführerin in beiden Fällen einen Anspruch auf eine Dreiviertelsrente (Art. 28 Abs. 2 IVG).</w:t>
      </w:r>
    </w:p>
    <w:p>
      <w:r>
        <w:rPr>
          <w:b/>
        </w:rPr>
        <w:t>E. 4</w:t>
      </w:r>
    </w:p>
    <w:p>
      <w:r>
        <w:t>Die von der Beschwerdegegnerin in der angefochtenen Verfügung vorgenommene Rentenherabsetzung auf eine Dreiviertelsrente ist damit rechtmässig. Der von ihr in der Beschwerdeantwort gestellte Antrag auf Herabsetzung auf eine halbe Rente erweist sich demgegenüber als unbegründet. Der Beginn des herabgesetzten Rentenanspruchs (1. September 2008, act. G 7.46) erfolgte in Nachachtung von Art. 88 bis Abs. 2 lit. a der Verordnung über die Invalidenversicherung (IVV; SR 831.201) und blieb unbestritten, weshalb er nicht zu beanstanden ist.</w:t>
      </w:r>
    </w:p>
    <w:p>
      <w:r>
        <w:rPr>
          <w:b/>
        </w:rPr>
        <w:t>E. 5</w:t>
      </w:r>
    </w:p>
    <w:p>
      <w:r>
        <w:t>Wie vor der Rentenzusprache ist auch vor einer Rentenrevision von Amtes wegen grundsätzlich die Eingliederungsfrage zu prüfen (Urteil des Bundesgerichts vom 28. April 2008, 9C_720/07, E. 4.1, auf dem Internet publizierter Entscheid des Versicherungsgerichts des Kantons St. Gallen vom 22. Mai 2007, IV 2006/100, E. 3b sowie nicht veröffentlichter Entscheid des Versicherungsgerichts des Kantons St. Gallen vom 27. März 2007, IV 2007/9 Z, mit Hinweisen). Die Beschwerdegegnerin hat die Eingliederungsfrage nicht explizit beantwortet, einen Anspruch auf Eingliederungsmassnahmen aber implizit mit dem Entscheid über die Rentenfrage verneint. Angesichts des Fehlens eines Antrages durch die Beschwerdeführerin auf Gewährung von Eingliederungsmassnahmen - obschon sie von der Beschwerdegegnerin im Vorbescheid vom 21. April 2008 auf die entsprechende Möglichkeit hingewiesen wurde (act. G 7.41) - und ihrer bis zum jetzigen Zeitpunkt fehlenden Eingliederungsbemühungen (vgl. act. G 1, G 7.42 und G 10) ist das Vorgehen der Beschwerdegegnerin im Ergebnis nicht zu beanstanden. Allerdings ist es geboten, dass die Beschwerdegegnerin die Beschwerdeführerin in den Bemühungen um eine Integration in eine adaptierte Tätigkeit durch geeignete Massnahmen (z.B. Arbeitsvermittlung) unterstützt.</w:t>
      </w:r>
    </w:p>
    <w:p>
      <w:r>
        <w:rPr>
          <w:b/>
        </w:rPr>
        <w:t>E. 6.1</w:t>
      </w:r>
    </w:p>
    <w:p>
      <w:r>
        <w:t>Nach dem Gesagten ist die Beschwerde abzuweisen.</w:t>
      </w:r>
    </w:p>
    <w:p>
      <w:r>
        <w:rPr>
          <w:b/>
        </w:rPr>
        <w:t>E. 6.2</w:t>
      </w:r>
    </w:p>
    <w:p>
      <w:r>
        <w:t>Der Beschwerdeführerin wurde die unentgeltliche Rechtspflege am 25. September 2008 bewilligt (act. G 8). Wenn die wirtschaftlichen Verhältnisse der Beschwerdeführerin es gestatten, kann sie jedoch zur Nachzahlung der Gerichtskosten verpflichtet werden (Art. 288 Abs. 1 ZPO/SG i.V.m. Art. 99 Abs. 2 VRP/SG).</w:t>
      </w:r>
    </w:p>
    <w:p>
      <w:r>
        <w:rPr>
          <w:b/>
        </w:rPr>
        <w:t>E. 6.3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Diese ist der unterliegenden Beschwerdeführerin aufzuerlegen. Zufolge unentgeltlicher Rechtspflege ist die Beschwerdeführerin von der Bezahlung der Gerichtskosten zu befreien. Eine Kostenauflage an die IV-Stelle ist trotz ihres nicht gutgeheissenen Antrags betreffend die Reduktion auf eine halbe Rente nicht gerechtfertigt; denn dieser Antrag hat keine eigenständige Bedeutung, nachdem einerseits die Rechtsmittelberechtigung im kantonalen Verfahren der IV-Stelle nicht zusteht und anderseits die Beschwerdeinstanz gehalten ist, aufgrund der Anfechtung der Rentenherabsetzung durch die versicherte Person die Rentenberechtigung als Ganzes zu überprüfen (vgl. Urteil des Bundesgerichtes vom 10. Juni 2002, I 730/01, mit Hinweis auf BGE 106 V 249). Dass die Verwaltung nachträglich ihre Meinung ändert, ist per se nicht unzulässig. Von einem Rachefeldzug kann entgegen der Meinung der Beschwerdeführerin (vgl. Replik, act. G 10) nicht die Rede sein. Immerhin wirft es ein ungünstiges Licht auf die Abklärungs- und Verfügungspraxis, wenn die Verwaltung nicht nur sehr ausnahmsweise im Beschwerdeverfahren eine reformatio in peius beantragt (Urteil des Bundesgerichtes vom 7. Januar 2009, 8C_348/2008). Demgemäss hat das Versicherungsgericht im Zirkulationsverfahren gemäss Art. 53 GerG entschieden: 1.  Die Beschwerde wird abgewiesen. 2.  Die Beschwerdeführerin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